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D537" w14:textId="77777777" w:rsidR="00A10104" w:rsidRDefault="00A10104" w:rsidP="00A10104">
      <w:pPr>
        <w:jc w:val="center"/>
      </w:pPr>
      <w:r>
        <w:rPr>
          <w:rFonts w:ascii="Open Sans" w:hAnsi="Open Sans"/>
          <w:noProof/>
          <w:color w:val="1E73BE"/>
          <w:sz w:val="21"/>
          <w:szCs w:val="21"/>
          <w:lang w:eastAsia="en-GB"/>
        </w:rPr>
        <w:drawing>
          <wp:inline distT="0" distB="0" distL="0" distR="0" wp14:anchorId="665F4B9A" wp14:editId="70E43134">
            <wp:extent cx="1531620" cy="542097"/>
            <wp:effectExtent l="0" t="0" r="0" b="0"/>
            <wp:docPr id="2" name="logo" descr="SMART Tru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MART Tru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3" cy="5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506D" w14:textId="77777777" w:rsidR="00A10104" w:rsidRDefault="00A10104"/>
    <w:p w14:paraId="33922BB2" w14:textId="77777777" w:rsidR="00456ADA" w:rsidRPr="00A10104" w:rsidRDefault="00D91C1A" w:rsidP="00A10104">
      <w:pPr>
        <w:jc w:val="center"/>
        <w:rPr>
          <w:b/>
          <w:sz w:val="28"/>
          <w:szCs w:val="28"/>
          <w:u w:val="single"/>
        </w:rPr>
      </w:pPr>
      <w:r w:rsidRPr="00A10104">
        <w:rPr>
          <w:b/>
          <w:sz w:val="28"/>
          <w:szCs w:val="28"/>
          <w:u w:val="single"/>
        </w:rPr>
        <w:t>Gender Pay Gap Report</w:t>
      </w:r>
    </w:p>
    <w:p w14:paraId="09A30F71" w14:textId="77777777" w:rsidR="00D91C1A" w:rsidRDefault="005A3C7B" w:rsidP="0049537A">
      <w:pPr>
        <w:jc w:val="both"/>
      </w:pPr>
      <w:r>
        <w:t xml:space="preserve">Under the Equality Act 2010 </w:t>
      </w:r>
      <w:r>
        <w:rPr>
          <w:lang w:val="en"/>
        </w:rPr>
        <w:t xml:space="preserve">(Specific Duties and Public Authorities) </w:t>
      </w:r>
      <w:r w:rsidR="00D91C1A">
        <w:t>Regulations 2017, and as an employer with over 250 employees, SMART (South East Cornwall Multi Academy Regional Trust</w:t>
      </w:r>
      <w:r w:rsidR="000A7165">
        <w:t>)</w:t>
      </w:r>
      <w:r w:rsidR="00D91C1A">
        <w:t xml:space="preserve"> is required to measure and report on the gender pay gap in the organisation. The Trust is a public sector body and has a data capture of 31</w:t>
      </w:r>
      <w:r w:rsidR="00A620BE">
        <w:t>st</w:t>
      </w:r>
      <w:r w:rsidR="00D91C1A">
        <w:t xml:space="preserve"> March each year.</w:t>
      </w:r>
    </w:p>
    <w:p w14:paraId="4F940D9F" w14:textId="77777777" w:rsidR="00D91C1A" w:rsidRDefault="00D91C1A" w:rsidP="0049537A">
      <w:pPr>
        <w:jc w:val="both"/>
      </w:pPr>
      <w:r>
        <w:t>Under the regulations there is a requirement to report on the following six measures:</w:t>
      </w:r>
    </w:p>
    <w:p w14:paraId="7DDB6B5B" w14:textId="77777777" w:rsidR="00D91C1A" w:rsidRDefault="00D91C1A" w:rsidP="0049537A">
      <w:pPr>
        <w:pStyle w:val="ListParagraph"/>
        <w:numPr>
          <w:ilvl w:val="0"/>
          <w:numId w:val="1"/>
        </w:numPr>
        <w:jc w:val="both"/>
      </w:pPr>
      <w:r>
        <w:t>The difference in the mean pay of full pay m</w:t>
      </w:r>
      <w:r w:rsidR="00CD7979">
        <w:t>ale</w:t>
      </w:r>
      <w:r>
        <w:t xml:space="preserve"> and </w:t>
      </w:r>
      <w:r w:rsidR="00CD7979">
        <w:t>female</w:t>
      </w:r>
      <w:r>
        <w:t xml:space="preserve"> expressed as a percentage</w:t>
      </w:r>
    </w:p>
    <w:p w14:paraId="65B27B71" w14:textId="77777777" w:rsidR="00D91C1A" w:rsidRDefault="00D91C1A" w:rsidP="0049537A">
      <w:pPr>
        <w:pStyle w:val="ListParagraph"/>
        <w:numPr>
          <w:ilvl w:val="0"/>
          <w:numId w:val="1"/>
        </w:numPr>
        <w:jc w:val="both"/>
      </w:pPr>
      <w:r>
        <w:t>The difference in the median pay of full pay m</w:t>
      </w:r>
      <w:r w:rsidR="00CD7979">
        <w:t>ale</w:t>
      </w:r>
      <w:r>
        <w:t xml:space="preserve"> and </w:t>
      </w:r>
      <w:r w:rsidR="00CD7979">
        <w:t>female</w:t>
      </w:r>
      <w:r>
        <w:t xml:space="preserve"> expressed as a percentage</w:t>
      </w:r>
    </w:p>
    <w:p w14:paraId="0B3681C9" w14:textId="77777777" w:rsidR="00D91C1A" w:rsidRDefault="00CD7979" w:rsidP="0049537A">
      <w:pPr>
        <w:pStyle w:val="ListParagraph"/>
        <w:numPr>
          <w:ilvl w:val="0"/>
          <w:numId w:val="1"/>
        </w:numPr>
        <w:jc w:val="both"/>
      </w:pPr>
      <w:r>
        <w:t>The difference in the mean bonus pay of full pay male and female expressed as a percentage</w:t>
      </w:r>
    </w:p>
    <w:p w14:paraId="451DA66E" w14:textId="77777777" w:rsidR="00CD7979" w:rsidRDefault="00CD7979" w:rsidP="0049537A">
      <w:pPr>
        <w:pStyle w:val="ListParagraph"/>
        <w:numPr>
          <w:ilvl w:val="0"/>
          <w:numId w:val="1"/>
        </w:numPr>
        <w:jc w:val="both"/>
      </w:pPr>
      <w:r>
        <w:t>The difference in the median bonus of full pay male and female expressed as a percentage</w:t>
      </w:r>
    </w:p>
    <w:p w14:paraId="1D869C76" w14:textId="77777777" w:rsidR="00CD7979" w:rsidRDefault="00CD7979" w:rsidP="0049537A">
      <w:pPr>
        <w:pStyle w:val="ListParagraph"/>
        <w:numPr>
          <w:ilvl w:val="0"/>
          <w:numId w:val="1"/>
        </w:numPr>
        <w:jc w:val="both"/>
      </w:pPr>
      <w:r>
        <w:t>The proportion of male and female employees who were paid bonus pay</w:t>
      </w:r>
    </w:p>
    <w:p w14:paraId="502D0DD1" w14:textId="77777777" w:rsidR="00CD7979" w:rsidRDefault="00CD7979" w:rsidP="0049537A">
      <w:pPr>
        <w:pStyle w:val="ListParagraph"/>
        <w:numPr>
          <w:ilvl w:val="0"/>
          <w:numId w:val="1"/>
        </w:numPr>
        <w:jc w:val="both"/>
      </w:pPr>
      <w:r>
        <w:t>The proportion of full pay male and female employees in each quartile pay bands</w:t>
      </w:r>
    </w:p>
    <w:p w14:paraId="6B77F88B" w14:textId="77777777" w:rsidR="00D77649" w:rsidRPr="00A620BE" w:rsidRDefault="00D77649" w:rsidP="00D77649">
      <w:pPr>
        <w:pStyle w:val="Text"/>
        <w:ind w:left="7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D77649" w:rsidRPr="00A620BE" w14:paraId="75B5120C" w14:textId="77777777">
        <w:trPr>
          <w:trHeight w:val="45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E2BB" w14:textId="58DAC9FD" w:rsidR="00D77649" w:rsidRPr="00A620BE" w:rsidRDefault="00D77649" w:rsidP="00A45FA8">
            <w:pPr>
              <w:pStyle w:val="Text"/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Snapshot date: </w:t>
            </w:r>
            <w:r w:rsidR="00A620BE" w:rsidRPr="00A620B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31</w:t>
            </w:r>
            <w:r w:rsidR="00A620BE" w:rsidRPr="00A620BE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A620BE" w:rsidRPr="00A620B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M</w:t>
            </w:r>
            <w:r w:rsidR="00F05A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arch 20</w:t>
            </w:r>
            <w:r w:rsidR="00A45FA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FD2D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14:paraId="3E8248C6" w14:textId="77777777" w:rsidR="00D77649" w:rsidRPr="00A620BE" w:rsidRDefault="00D77649" w:rsidP="00A620BE">
      <w:pPr>
        <w:pStyle w:val="Text"/>
        <w:ind w:left="720"/>
        <w:rPr>
          <w:rFonts w:asciiTheme="minorHAnsi" w:hAnsiTheme="minorHAnsi"/>
          <w:b/>
          <w:bCs/>
          <w:sz w:val="20"/>
          <w:szCs w:val="20"/>
          <w:lang w:val="en-GB"/>
        </w:rPr>
      </w:pPr>
    </w:p>
    <w:p w14:paraId="272EBBDB" w14:textId="77777777" w:rsidR="00D77649" w:rsidRPr="00A620BE" w:rsidRDefault="00D77649" w:rsidP="00A620BE">
      <w:pPr>
        <w:pStyle w:val="Text"/>
        <w:rPr>
          <w:rFonts w:asciiTheme="minorHAnsi" w:hAnsiTheme="minorHAnsi"/>
          <w:sz w:val="20"/>
          <w:szCs w:val="20"/>
        </w:rPr>
      </w:pPr>
      <w:r w:rsidRPr="00A620BE">
        <w:rPr>
          <w:rFonts w:asciiTheme="minorHAnsi" w:hAnsiTheme="minorHAnsi"/>
          <w:b/>
          <w:bCs/>
          <w:sz w:val="20"/>
          <w:szCs w:val="20"/>
          <w:lang w:val="en-GB"/>
        </w:rPr>
        <w:t>Difference in mean and median hourly rate of pay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40"/>
        <w:gridCol w:w="3064"/>
      </w:tblGrid>
      <w:tr w:rsidR="00D77649" w:rsidRPr="00A620BE" w14:paraId="569898E6" w14:textId="77777777">
        <w:trPr>
          <w:trHeight w:val="454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</w:tcPr>
          <w:p w14:paraId="46E997ED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0A7630FF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Difference in the mean hourly pay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73426E91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Difference in the median hourly pay</w:t>
            </w:r>
          </w:p>
        </w:tc>
      </w:tr>
      <w:tr w:rsidR="00D77649" w:rsidRPr="00A620BE" w14:paraId="21065784" w14:textId="77777777">
        <w:trPr>
          <w:trHeight w:val="39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A2DF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sz w:val="20"/>
                <w:szCs w:val="20"/>
              </w:rPr>
              <w:t>Pay gap. % difference male to female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D65" w14:textId="24943107" w:rsidR="00D77649" w:rsidRPr="00A620BE" w:rsidRDefault="00823C6E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3C6E">
              <w:rPr>
                <w:rFonts w:asciiTheme="minorHAnsi" w:hAnsiTheme="minorHAnsi"/>
                <w:sz w:val="20"/>
                <w:szCs w:val="20"/>
              </w:rPr>
              <w:t>15.3</w:t>
            </w:r>
            <w:r w:rsidR="00E35507" w:rsidRPr="00823C6E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0FF" w14:textId="08EFA9A4" w:rsidR="00D77649" w:rsidRPr="00A620BE" w:rsidRDefault="00823C6E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3C6E">
              <w:rPr>
                <w:rFonts w:asciiTheme="minorHAnsi" w:hAnsiTheme="minorHAnsi"/>
                <w:sz w:val="20"/>
                <w:szCs w:val="20"/>
              </w:rPr>
              <w:t>36.6</w:t>
            </w:r>
            <w:r w:rsidR="00E35507" w:rsidRPr="00823C6E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14:paraId="0B58269E" w14:textId="77777777" w:rsidR="00D77649" w:rsidRPr="00A620BE" w:rsidRDefault="00D77649" w:rsidP="00A620BE">
      <w:pPr>
        <w:pStyle w:val="Text"/>
        <w:rPr>
          <w:rFonts w:asciiTheme="minorHAnsi" w:hAnsiTheme="minorHAnsi"/>
          <w:sz w:val="20"/>
          <w:szCs w:val="20"/>
        </w:rPr>
      </w:pPr>
    </w:p>
    <w:p w14:paraId="4FCE2FB3" w14:textId="77777777" w:rsidR="00D77649" w:rsidRPr="00A620BE" w:rsidRDefault="00D77649" w:rsidP="00A620BE">
      <w:pPr>
        <w:pStyle w:val="Text"/>
        <w:rPr>
          <w:rFonts w:asciiTheme="minorHAnsi" w:hAnsiTheme="minorHAnsi"/>
          <w:sz w:val="20"/>
          <w:szCs w:val="20"/>
        </w:rPr>
      </w:pPr>
      <w:r w:rsidRPr="00A620BE">
        <w:rPr>
          <w:rFonts w:asciiTheme="minorHAnsi" w:hAnsiTheme="minorHAnsi"/>
          <w:b/>
          <w:bCs/>
          <w:sz w:val="20"/>
          <w:szCs w:val="20"/>
          <w:lang w:val="en-GB"/>
        </w:rPr>
        <w:t>Difference in mean and median bonus pay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40"/>
        <w:gridCol w:w="3064"/>
      </w:tblGrid>
      <w:tr w:rsidR="00D77649" w:rsidRPr="00A620BE" w14:paraId="516DF4A2" w14:textId="77777777">
        <w:trPr>
          <w:trHeight w:val="454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</w:tcPr>
          <w:p w14:paraId="3408B7A0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4D79478C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Difference in the mean bonus pay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40BA9835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Difference in the median bonus pay</w:t>
            </w:r>
          </w:p>
        </w:tc>
      </w:tr>
      <w:tr w:rsidR="00D77649" w:rsidRPr="00A620BE" w14:paraId="0E213615" w14:textId="77777777">
        <w:trPr>
          <w:trHeight w:val="39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A5B" w14:textId="77777777" w:rsidR="00D77649" w:rsidRPr="00A620BE" w:rsidRDefault="00D77649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sz w:val="20"/>
                <w:szCs w:val="20"/>
              </w:rPr>
              <w:t>Pay gap. % difference male to female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DDD2" w14:textId="77777777" w:rsidR="00D77649" w:rsidRPr="00A620BE" w:rsidRDefault="00A620BE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93F1" w14:textId="77777777" w:rsidR="00D77649" w:rsidRPr="00A620BE" w:rsidRDefault="00A620BE">
            <w:pPr>
              <w:pStyle w:val="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620BE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</w:tbl>
    <w:p w14:paraId="2B247994" w14:textId="77777777" w:rsidR="00D77649" w:rsidRPr="00A620BE" w:rsidRDefault="00D77649" w:rsidP="00A620BE">
      <w:pPr>
        <w:pStyle w:val="Text"/>
        <w:rPr>
          <w:rFonts w:asciiTheme="minorHAnsi" w:hAnsiTheme="minorHAnsi"/>
          <w:sz w:val="20"/>
          <w:szCs w:val="20"/>
        </w:rPr>
      </w:pPr>
    </w:p>
    <w:p w14:paraId="3158F437" w14:textId="77777777" w:rsidR="00D77649" w:rsidRPr="00A620BE" w:rsidRDefault="00D77649" w:rsidP="00A620BE">
      <w:pPr>
        <w:pStyle w:val="Text"/>
        <w:rPr>
          <w:rFonts w:asciiTheme="minorHAnsi" w:hAnsiTheme="minorHAnsi"/>
          <w:sz w:val="20"/>
          <w:szCs w:val="20"/>
        </w:rPr>
      </w:pPr>
      <w:r w:rsidRPr="00A620BE">
        <w:rPr>
          <w:rFonts w:asciiTheme="minorHAnsi" w:hAnsiTheme="minorHAnsi"/>
          <w:b/>
          <w:bCs/>
          <w:sz w:val="20"/>
          <w:szCs w:val="20"/>
          <w:lang w:val="en-GB"/>
        </w:rPr>
        <w:t>Proportion of male and female employees who were paid bonus pay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48"/>
      </w:tblGrid>
      <w:tr w:rsidR="00D77649" w:rsidRPr="00A620BE" w14:paraId="58A12BEB" w14:textId="77777777">
        <w:trPr>
          <w:trHeight w:val="4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</w:tcPr>
          <w:p w14:paraId="3C9DA677" w14:textId="77777777" w:rsidR="00D77649" w:rsidRPr="00A620BE" w:rsidRDefault="00D776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0707FDD3" w14:textId="77777777" w:rsidR="00D77649" w:rsidRPr="00A620BE" w:rsidRDefault="00D77649">
            <w:pPr>
              <w:spacing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Proportion receiving a bonus</w:t>
            </w:r>
          </w:p>
        </w:tc>
      </w:tr>
      <w:tr w:rsidR="00D77649" w:rsidRPr="00A620BE" w14:paraId="32349216" w14:textId="77777777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CEA" w14:textId="77777777" w:rsidR="00D77649" w:rsidRPr="00A620BE" w:rsidRDefault="00D77649">
            <w:pPr>
              <w:spacing w:after="120"/>
              <w:rPr>
                <w:rFonts w:cs="Arial"/>
                <w:sz w:val="20"/>
                <w:szCs w:val="20"/>
              </w:rPr>
            </w:pPr>
            <w:r w:rsidRPr="00A620BE">
              <w:rPr>
                <w:rFonts w:cs="Arial"/>
                <w:sz w:val="20"/>
                <w:szCs w:val="20"/>
              </w:rPr>
              <w:t>Male employees (% paid a bonus compared to all male employees)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5EFB" w14:textId="77777777" w:rsidR="00D77649" w:rsidRPr="00A620BE" w:rsidRDefault="00A620BE">
            <w:pPr>
              <w:spacing w:after="120"/>
              <w:rPr>
                <w:rFonts w:cs="Arial"/>
                <w:sz w:val="20"/>
                <w:szCs w:val="20"/>
              </w:rPr>
            </w:pPr>
            <w:r w:rsidRPr="00A620BE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77649" w:rsidRPr="00A620BE" w14:paraId="3E4D3F1D" w14:textId="77777777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13BC" w14:textId="77777777" w:rsidR="00D77649" w:rsidRPr="00A620BE" w:rsidRDefault="00D77649">
            <w:pPr>
              <w:spacing w:after="120"/>
              <w:rPr>
                <w:rFonts w:cs="Arial"/>
                <w:sz w:val="20"/>
                <w:szCs w:val="20"/>
              </w:rPr>
            </w:pPr>
            <w:r w:rsidRPr="00A620BE">
              <w:rPr>
                <w:rFonts w:cs="Arial"/>
                <w:sz w:val="20"/>
                <w:szCs w:val="20"/>
              </w:rPr>
              <w:t>Female employees (% paid a bonus compared to all female employees)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08B" w14:textId="77777777" w:rsidR="00D77649" w:rsidRPr="00A620BE" w:rsidRDefault="00A620BE">
            <w:pPr>
              <w:spacing w:after="120"/>
              <w:rPr>
                <w:rFonts w:cs="Arial"/>
                <w:sz w:val="20"/>
                <w:szCs w:val="20"/>
              </w:rPr>
            </w:pPr>
            <w:r w:rsidRPr="00A620BE">
              <w:rPr>
                <w:rFonts w:cs="Arial"/>
                <w:sz w:val="20"/>
                <w:szCs w:val="20"/>
              </w:rPr>
              <w:t>N/A</w:t>
            </w:r>
          </w:p>
        </w:tc>
      </w:tr>
    </w:tbl>
    <w:p w14:paraId="347B16E0" w14:textId="77777777" w:rsidR="00D77649" w:rsidRPr="00A620BE" w:rsidRDefault="00D77649" w:rsidP="00A620BE">
      <w:pPr>
        <w:spacing w:after="120"/>
        <w:rPr>
          <w:rFonts w:cs="Arial"/>
          <w:b/>
          <w:sz w:val="20"/>
          <w:szCs w:val="20"/>
          <w:lang w:val="en-US"/>
        </w:rPr>
      </w:pPr>
    </w:p>
    <w:p w14:paraId="712952F5" w14:textId="77777777" w:rsidR="00A10104" w:rsidRDefault="00A10104" w:rsidP="00A620BE">
      <w:pPr>
        <w:spacing w:after="120"/>
        <w:rPr>
          <w:rFonts w:cs="Arial"/>
          <w:b/>
          <w:bCs/>
          <w:sz w:val="20"/>
          <w:szCs w:val="20"/>
        </w:rPr>
      </w:pPr>
    </w:p>
    <w:p w14:paraId="59607B10" w14:textId="77777777" w:rsidR="00A10104" w:rsidRDefault="00A10104" w:rsidP="00A620BE">
      <w:pPr>
        <w:spacing w:after="120"/>
        <w:rPr>
          <w:rFonts w:cs="Arial"/>
          <w:b/>
          <w:bCs/>
          <w:sz w:val="20"/>
          <w:szCs w:val="20"/>
        </w:rPr>
      </w:pPr>
    </w:p>
    <w:p w14:paraId="655DEA9A" w14:textId="77777777" w:rsidR="00D77649" w:rsidRPr="00A620BE" w:rsidRDefault="00D77649" w:rsidP="00A620BE">
      <w:pPr>
        <w:spacing w:after="120"/>
        <w:rPr>
          <w:rFonts w:cs="Arial"/>
          <w:b/>
          <w:sz w:val="20"/>
          <w:szCs w:val="20"/>
        </w:rPr>
      </w:pPr>
      <w:r w:rsidRPr="00A620BE">
        <w:rPr>
          <w:rFonts w:cs="Arial"/>
          <w:b/>
          <w:bCs/>
          <w:sz w:val="20"/>
          <w:szCs w:val="20"/>
        </w:rPr>
        <w:lastRenderedPageBreak/>
        <w:t>Proportion of male and female employees according to quartile pay bands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1440"/>
        <w:gridCol w:w="1439"/>
        <w:gridCol w:w="1440"/>
        <w:gridCol w:w="1479"/>
      </w:tblGrid>
      <w:tr w:rsidR="00D77649" w:rsidRPr="00A620BE" w14:paraId="4592BFEF" w14:textId="77777777" w:rsidTr="00A620BE">
        <w:trPr>
          <w:trHeight w:val="51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</w:tcPr>
          <w:p w14:paraId="5EFE1552" w14:textId="77777777" w:rsidR="00D77649" w:rsidRPr="00A620BE" w:rsidRDefault="00D776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5484E2E6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Quartile 1.</w:t>
            </w:r>
          </w:p>
          <w:p w14:paraId="090171EB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Lower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177BE81D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Quartile 2.</w:t>
            </w:r>
          </w:p>
          <w:p w14:paraId="07846CAB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Lower middle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7E497E36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Quartile 3.</w:t>
            </w:r>
          </w:p>
          <w:p w14:paraId="647BD041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Upper middle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F"/>
            <w:vAlign w:val="center"/>
            <w:hideMark/>
          </w:tcPr>
          <w:p w14:paraId="7CF14A84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Quartile 4.</w:t>
            </w:r>
          </w:p>
          <w:p w14:paraId="4FC4A24A" w14:textId="77777777" w:rsidR="00D77649" w:rsidRPr="00A620BE" w:rsidRDefault="00D776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A620BE">
              <w:rPr>
                <w:rFonts w:cs="Arial"/>
                <w:b/>
                <w:color w:val="FFFFFF"/>
                <w:sz w:val="20"/>
                <w:szCs w:val="20"/>
              </w:rPr>
              <w:t>Upper</w:t>
            </w:r>
          </w:p>
        </w:tc>
      </w:tr>
      <w:tr w:rsidR="00D77649" w:rsidRPr="00A620BE" w14:paraId="3E500E12" w14:textId="77777777" w:rsidTr="00A620BE">
        <w:trPr>
          <w:trHeight w:val="39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FF81" w14:textId="77777777" w:rsidR="00D77649" w:rsidRPr="00A620BE" w:rsidRDefault="00D77649">
            <w:pPr>
              <w:rPr>
                <w:rFonts w:cs="Arial"/>
                <w:sz w:val="20"/>
                <w:szCs w:val="20"/>
              </w:rPr>
            </w:pPr>
            <w:r w:rsidRPr="00A620BE">
              <w:rPr>
                <w:rFonts w:cs="Arial"/>
                <w:sz w:val="20"/>
                <w:szCs w:val="20"/>
              </w:rPr>
              <w:t>Male (% males to all employees in each quartile)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CE0" w14:textId="78F8A893" w:rsidR="00D77649" w:rsidRPr="00A620BE" w:rsidRDefault="00E35507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2</w:t>
            </w:r>
            <w:r w:rsidR="0080186F" w:rsidRPr="0080186F">
              <w:rPr>
                <w:rFonts w:cs="Arial"/>
                <w:sz w:val="20"/>
                <w:szCs w:val="20"/>
              </w:rPr>
              <w:t>5.00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C04" w14:textId="6CD85083" w:rsidR="00D77649" w:rsidRPr="0080186F" w:rsidRDefault="0080186F" w:rsidP="003D194F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18.28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999" w14:textId="040B69B3" w:rsidR="00D77649" w:rsidRPr="0080186F" w:rsidRDefault="0080186F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41.58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DBC0" w14:textId="314E7E2A" w:rsidR="00D77649" w:rsidRPr="00A620BE" w:rsidRDefault="0080186F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36.78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</w:tr>
      <w:tr w:rsidR="00D77649" w:rsidRPr="00A620BE" w14:paraId="46C781F5" w14:textId="77777777" w:rsidTr="00A620BE">
        <w:trPr>
          <w:trHeight w:val="39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A0A8" w14:textId="77777777" w:rsidR="00D77649" w:rsidRPr="00A620BE" w:rsidRDefault="00D77649">
            <w:pPr>
              <w:rPr>
                <w:rFonts w:cs="Arial"/>
                <w:sz w:val="20"/>
                <w:szCs w:val="20"/>
              </w:rPr>
            </w:pPr>
            <w:r w:rsidRPr="00A620BE">
              <w:rPr>
                <w:rFonts w:cs="Arial"/>
                <w:sz w:val="20"/>
                <w:szCs w:val="20"/>
              </w:rPr>
              <w:t>Female (% females to all employees in each quartile)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7E3" w14:textId="411C0BCC" w:rsidR="00D77649" w:rsidRPr="00A620BE" w:rsidRDefault="00E35507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7</w:t>
            </w:r>
            <w:r w:rsidR="0080186F" w:rsidRPr="0080186F">
              <w:rPr>
                <w:rFonts w:cs="Arial"/>
                <w:sz w:val="20"/>
                <w:szCs w:val="20"/>
              </w:rPr>
              <w:t>5</w:t>
            </w:r>
            <w:r w:rsidRPr="0080186F">
              <w:rPr>
                <w:rFonts w:cs="Arial"/>
                <w:sz w:val="20"/>
                <w:szCs w:val="20"/>
              </w:rPr>
              <w:t>.</w:t>
            </w:r>
            <w:r w:rsidR="0080186F" w:rsidRPr="0080186F">
              <w:rPr>
                <w:rFonts w:cs="Arial"/>
                <w:sz w:val="20"/>
                <w:szCs w:val="20"/>
              </w:rPr>
              <w:t>00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48D" w14:textId="489FFCCC" w:rsidR="00D77649" w:rsidRPr="0080186F" w:rsidRDefault="0080186F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81.72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AD5" w14:textId="5F30BC7A" w:rsidR="00D77649" w:rsidRPr="0080186F" w:rsidRDefault="0080186F">
            <w:pPr>
              <w:rPr>
                <w:rFonts w:cs="Arial"/>
                <w:sz w:val="20"/>
                <w:szCs w:val="20"/>
              </w:rPr>
            </w:pPr>
            <w:r w:rsidRPr="0080186F">
              <w:rPr>
                <w:rFonts w:cs="Arial"/>
                <w:sz w:val="20"/>
                <w:szCs w:val="20"/>
              </w:rPr>
              <w:t>58.42</w:t>
            </w:r>
            <w:r w:rsidR="00011DDB" w:rsidRPr="0080186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8D67" w14:textId="1E4672AA" w:rsidR="00D77649" w:rsidRPr="00A620BE" w:rsidRDefault="0080186F" w:rsidP="00E355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63.22</w:t>
            </w:r>
            <w:r w:rsidRPr="0080186F">
              <w:rPr>
                <w:rFonts w:cs="Arial"/>
                <w:sz w:val="20"/>
                <w:szCs w:val="20"/>
              </w:rPr>
              <w:t>%</w:t>
            </w:r>
          </w:p>
        </w:tc>
      </w:tr>
    </w:tbl>
    <w:p w14:paraId="6ED1702A" w14:textId="77777777" w:rsidR="00A10104" w:rsidRDefault="00A10104" w:rsidP="00A620BE"/>
    <w:p w14:paraId="73C8E521" w14:textId="77777777" w:rsidR="000A7165" w:rsidRDefault="000A7165" w:rsidP="00A620BE">
      <w:r>
        <w:t>There were no bonuses paid in the period.</w:t>
      </w:r>
    </w:p>
    <w:p w14:paraId="7D0B1626" w14:textId="77777777" w:rsidR="00A620BE" w:rsidRPr="00A10104" w:rsidRDefault="00A620BE" w:rsidP="00A620BE">
      <w:pPr>
        <w:rPr>
          <w:b/>
          <w:sz w:val="26"/>
          <w:szCs w:val="26"/>
          <w:u w:val="single"/>
        </w:rPr>
      </w:pPr>
      <w:r w:rsidRPr="00A10104">
        <w:rPr>
          <w:b/>
          <w:sz w:val="26"/>
          <w:szCs w:val="26"/>
          <w:u w:val="single"/>
        </w:rPr>
        <w:t>Narrative</w:t>
      </w:r>
    </w:p>
    <w:p w14:paraId="2D5DB70D" w14:textId="6C795614" w:rsidR="00BE164A" w:rsidRDefault="002B441D" w:rsidP="0049537A">
      <w:pPr>
        <w:jc w:val="both"/>
      </w:pPr>
      <w:r>
        <w:t>South East Cornwall</w:t>
      </w:r>
      <w:r w:rsidR="00673DBD">
        <w:t xml:space="preserve"> Multi Academy </w:t>
      </w:r>
      <w:r>
        <w:t xml:space="preserve">Regional </w:t>
      </w:r>
      <w:r w:rsidR="00673DBD">
        <w:t xml:space="preserve">Trust has </w:t>
      </w:r>
      <w:r w:rsidR="00F05A51">
        <w:t>three</w:t>
      </w:r>
      <w:r w:rsidR="00A620BE">
        <w:t xml:space="preserve"> secondary school</w:t>
      </w:r>
      <w:r w:rsidR="00F05A51">
        <w:t>s</w:t>
      </w:r>
      <w:r w:rsidR="00A620BE">
        <w:t xml:space="preserve"> and </w:t>
      </w:r>
      <w:r w:rsidR="00F05A51">
        <w:t>three small</w:t>
      </w:r>
      <w:r w:rsidR="00A620BE">
        <w:t xml:space="preserve"> primary school</w:t>
      </w:r>
      <w:r w:rsidR="00F05A51">
        <w:t>s</w:t>
      </w:r>
      <w:r w:rsidR="00A620BE">
        <w:t>.</w:t>
      </w:r>
    </w:p>
    <w:p w14:paraId="7C7EE165" w14:textId="130F61C4" w:rsidR="00A378CD" w:rsidRPr="00A378CD" w:rsidRDefault="003020C6" w:rsidP="008D1B61">
      <w:pPr>
        <w:spacing w:before="120" w:after="120"/>
        <w:jc w:val="both"/>
      </w:pPr>
      <w:r>
        <w:t xml:space="preserve">The challenge in our organisation is to eliminate any gender pay gap.  </w:t>
      </w:r>
      <w:r w:rsidR="00B6159D">
        <w:rPr>
          <w:rFonts w:cs="Arial"/>
        </w:rPr>
        <w:t>It is known that women apply to work in the education sector due to attractive working patterns, willingness to accommodate requests for part time roles and</w:t>
      </w:r>
      <w:r w:rsidR="00A378CD">
        <w:rPr>
          <w:rFonts w:cs="Arial"/>
        </w:rPr>
        <w:t>, in the case of support staff,</w:t>
      </w:r>
      <w:r w:rsidR="00B6159D">
        <w:rPr>
          <w:rFonts w:cs="Arial"/>
        </w:rPr>
        <w:t xml:space="preserve"> </w:t>
      </w:r>
      <w:r w:rsidR="008D1B61">
        <w:rPr>
          <w:rFonts w:cs="Arial"/>
        </w:rPr>
        <w:t>the availability of</w:t>
      </w:r>
      <w:r w:rsidR="00B6159D">
        <w:rPr>
          <w:rFonts w:cs="Arial"/>
        </w:rPr>
        <w:t xml:space="preserve"> ‘term time only’ contracts </w:t>
      </w:r>
      <w:r w:rsidR="00A378CD">
        <w:rPr>
          <w:rFonts w:cs="Arial"/>
        </w:rPr>
        <w:t xml:space="preserve">that facilitate </w:t>
      </w:r>
      <w:r w:rsidR="00B6159D">
        <w:rPr>
          <w:rFonts w:cs="Arial"/>
        </w:rPr>
        <w:t>work</w:t>
      </w:r>
      <w:r w:rsidR="008B79BE">
        <w:rPr>
          <w:rFonts w:cs="Arial"/>
        </w:rPr>
        <w:t>ing</w:t>
      </w:r>
      <w:r w:rsidR="00B6159D">
        <w:rPr>
          <w:rFonts w:cs="Arial"/>
        </w:rPr>
        <w:t xml:space="preserve"> around childcare responsibilities.  </w:t>
      </w:r>
      <w:r w:rsidR="00B6159D">
        <w:t xml:space="preserve">SMART follows this model </w:t>
      </w:r>
      <w:r w:rsidR="00A378CD">
        <w:t xml:space="preserve">which means </w:t>
      </w:r>
      <w:r w:rsidR="008D1B61" w:rsidRPr="008D1B61">
        <w:t>that when we take an overall average for female staff it is much lower than the overall average for males.</w:t>
      </w:r>
      <w:r w:rsidR="008D1B61">
        <w:rPr>
          <w:rFonts w:cs="Arial"/>
        </w:rPr>
        <w:t xml:space="preserve"> </w:t>
      </w:r>
    </w:p>
    <w:p w14:paraId="7F444250" w14:textId="32620B45" w:rsidR="00AE38B4" w:rsidRDefault="003020C6" w:rsidP="008D1B61">
      <w:pPr>
        <w:spacing w:before="120" w:after="120"/>
        <w:jc w:val="both"/>
        <w:rPr>
          <w:rFonts w:cs="Arial"/>
        </w:rPr>
      </w:pPr>
      <w:r>
        <w:t>During the period in question</w:t>
      </w:r>
      <w:r w:rsidRPr="003A1596">
        <w:t xml:space="preserve"> </w:t>
      </w:r>
      <w:r w:rsidR="00AC70CE" w:rsidRPr="003D6383">
        <w:t>30</w:t>
      </w:r>
      <w:r w:rsidRPr="003D6383">
        <w:t>%</w:t>
      </w:r>
      <w:r w:rsidRPr="003A1596">
        <w:t xml:space="preserve"> of the </w:t>
      </w:r>
      <w:r>
        <w:t xml:space="preserve">overall </w:t>
      </w:r>
      <w:r w:rsidRPr="003A1596">
        <w:t>workforce</w:t>
      </w:r>
      <w:r>
        <w:t xml:space="preserve"> in the Trust were</w:t>
      </w:r>
      <w:r w:rsidRPr="003A1596">
        <w:t xml:space="preserve"> male </w:t>
      </w:r>
      <w:r>
        <w:t xml:space="preserve">and </w:t>
      </w:r>
      <w:r w:rsidR="00AC70CE" w:rsidRPr="003D6383">
        <w:t>70</w:t>
      </w:r>
      <w:r w:rsidRPr="003D6383">
        <w:t>%</w:t>
      </w:r>
      <w:r>
        <w:t xml:space="preserve"> were female.  </w:t>
      </w:r>
      <w:r w:rsidR="000B01B2">
        <w:t xml:space="preserve">No staff were put on furlough during the Covid-19 pandemic. </w:t>
      </w:r>
    </w:p>
    <w:p w14:paraId="3EE6FB20" w14:textId="77777777" w:rsidR="00A378CD" w:rsidRDefault="00A378CD" w:rsidP="00A378CD">
      <w:pPr>
        <w:jc w:val="both"/>
      </w:pPr>
      <w:r>
        <w:t>The Trust has a mean gender pay gap of 15.3% (a decrease from 21.7% in 2020).</w:t>
      </w:r>
    </w:p>
    <w:p w14:paraId="38751897" w14:textId="3BF7B03B" w:rsidR="00446E61" w:rsidRPr="003020C6" w:rsidRDefault="002B441D" w:rsidP="003020C6">
      <w:pPr>
        <w:spacing w:before="120" w:after="120"/>
        <w:jc w:val="both"/>
        <w:rPr>
          <w:rFonts w:cs="Arial"/>
        </w:rPr>
      </w:pPr>
      <w:r>
        <w:t>It</w:t>
      </w:r>
      <w:r w:rsidR="003020C6">
        <w:rPr>
          <w:rFonts w:cs="Arial"/>
        </w:rPr>
        <w:t xml:space="preserve"> is </w:t>
      </w:r>
      <w:r w:rsidR="003D6383">
        <w:rPr>
          <w:rFonts w:cs="Arial"/>
        </w:rPr>
        <w:t>encouraging</w:t>
      </w:r>
      <w:r w:rsidR="003020C6">
        <w:rPr>
          <w:rFonts w:cs="Arial"/>
        </w:rPr>
        <w:t xml:space="preserve"> to note </w:t>
      </w:r>
      <w:r w:rsidR="00726F3E">
        <w:rPr>
          <w:rFonts w:cs="Arial"/>
        </w:rPr>
        <w:t xml:space="preserve">the </w:t>
      </w:r>
      <w:r w:rsidR="00681001">
        <w:rPr>
          <w:rFonts w:cs="Arial"/>
        </w:rPr>
        <w:t>percentage</w:t>
      </w:r>
      <w:r w:rsidR="00726F3E">
        <w:rPr>
          <w:rFonts w:cs="Arial"/>
        </w:rPr>
        <w:t xml:space="preserve"> of female staff </w:t>
      </w:r>
      <w:r w:rsidR="003020C6">
        <w:rPr>
          <w:rFonts w:cs="Arial"/>
        </w:rPr>
        <w:t xml:space="preserve">in the </w:t>
      </w:r>
      <w:r w:rsidR="00DB18B7">
        <w:rPr>
          <w:rFonts w:cs="Arial"/>
        </w:rPr>
        <w:t xml:space="preserve">top </w:t>
      </w:r>
      <w:r w:rsidR="00FF2D7A">
        <w:rPr>
          <w:rFonts w:cs="Arial"/>
        </w:rPr>
        <w:t xml:space="preserve">pay </w:t>
      </w:r>
      <w:r w:rsidR="003020C6">
        <w:rPr>
          <w:rFonts w:cs="Arial"/>
        </w:rPr>
        <w:t>quartile</w:t>
      </w:r>
      <w:r w:rsidR="00FF2D7A">
        <w:rPr>
          <w:rFonts w:cs="Arial"/>
        </w:rPr>
        <w:t xml:space="preserve"> increased</w:t>
      </w:r>
      <w:r w:rsidR="00AC70CE">
        <w:rPr>
          <w:rFonts w:cs="Arial"/>
        </w:rPr>
        <w:t xml:space="preserve"> </w:t>
      </w:r>
      <w:r w:rsidR="00681001">
        <w:rPr>
          <w:rFonts w:cs="Arial"/>
        </w:rPr>
        <w:t xml:space="preserve">from </w:t>
      </w:r>
      <w:r w:rsidR="00897869">
        <w:rPr>
          <w:rFonts w:cs="Arial"/>
        </w:rPr>
        <w:t>49.35</w:t>
      </w:r>
      <w:r w:rsidR="00FF2D7A">
        <w:rPr>
          <w:rFonts w:cs="Arial"/>
        </w:rPr>
        <w:t>%</w:t>
      </w:r>
      <w:r w:rsidR="00681001">
        <w:rPr>
          <w:rFonts w:cs="Arial"/>
        </w:rPr>
        <w:t xml:space="preserve"> in 2020 to </w:t>
      </w:r>
      <w:r w:rsidR="00FF2D7A">
        <w:rPr>
          <w:rFonts w:cs="Arial"/>
        </w:rPr>
        <w:t>63.22%</w:t>
      </w:r>
      <w:r w:rsidR="00681001">
        <w:rPr>
          <w:rFonts w:cs="Arial"/>
        </w:rPr>
        <w:t xml:space="preserve"> in 2021.  </w:t>
      </w:r>
    </w:p>
    <w:p w14:paraId="69E5A74D" w14:textId="77777777" w:rsidR="000A7165" w:rsidRPr="00A10104" w:rsidRDefault="00C25597" w:rsidP="0049537A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The Trust operates nationally agreed pay scales for all staff.  All </w:t>
      </w:r>
      <w:r w:rsidR="005E2B9C">
        <w:rPr>
          <w:rFonts w:cs="Arial"/>
        </w:rPr>
        <w:t>SMART</w:t>
      </w:r>
      <w:r w:rsidR="000A7165" w:rsidRPr="00A10104">
        <w:rPr>
          <w:rFonts w:cs="Arial"/>
        </w:rPr>
        <w:t xml:space="preserve"> job roles are evaluated to ensure fair pay in each </w:t>
      </w:r>
      <w:proofErr w:type="gramStart"/>
      <w:r w:rsidR="000A7165" w:rsidRPr="00A10104">
        <w:rPr>
          <w:rFonts w:cs="Arial"/>
        </w:rPr>
        <w:t>role</w:t>
      </w:r>
      <w:proofErr w:type="gramEnd"/>
      <w:r w:rsidR="000A7165" w:rsidRPr="00A10104">
        <w:rPr>
          <w:rFonts w:cs="Arial"/>
        </w:rPr>
        <w:t xml:space="preserve"> and </w:t>
      </w:r>
      <w:r>
        <w:rPr>
          <w:rFonts w:cs="Arial"/>
        </w:rPr>
        <w:t xml:space="preserve">we </w:t>
      </w:r>
      <w:r w:rsidR="000A7165" w:rsidRPr="00A10104">
        <w:rPr>
          <w:rFonts w:cs="Arial"/>
        </w:rPr>
        <w:t>advertise each job with no gender bias</w:t>
      </w:r>
      <w:r w:rsidR="00A10104">
        <w:rPr>
          <w:rFonts w:cs="Arial"/>
        </w:rPr>
        <w:t>.</w:t>
      </w:r>
      <w:r w:rsidR="00BE164A">
        <w:rPr>
          <w:rFonts w:cs="Arial"/>
        </w:rPr>
        <w:t xml:space="preserve"> </w:t>
      </w:r>
      <w:r w:rsidR="00AD199B">
        <w:rPr>
          <w:rFonts w:cs="Arial"/>
        </w:rPr>
        <w:t xml:space="preserve">All our policies are subject to an annual impact assessment evaluation.  </w:t>
      </w:r>
    </w:p>
    <w:p w14:paraId="2A5013E9" w14:textId="77777777" w:rsidR="00FA0FB6" w:rsidRDefault="00FA0FB6" w:rsidP="006478ED"/>
    <w:p w14:paraId="5D188A70" w14:textId="77777777" w:rsidR="00FA0FB6" w:rsidRDefault="00FA0FB6" w:rsidP="006478ED"/>
    <w:p w14:paraId="1183DEC1" w14:textId="77777777" w:rsidR="00FA0FB6" w:rsidRDefault="00FA0FB6" w:rsidP="003F58FC">
      <w:pPr>
        <w:spacing w:after="0"/>
      </w:pPr>
      <w:r>
        <w:t>Dan Buckley</w:t>
      </w:r>
    </w:p>
    <w:p w14:paraId="0B055374" w14:textId="040A0FB3" w:rsidR="00FA0FB6" w:rsidRDefault="00FA0FB6" w:rsidP="003F58FC">
      <w:pPr>
        <w:spacing w:after="0"/>
      </w:pPr>
      <w:r>
        <w:t>Chief Executive Officer</w:t>
      </w:r>
    </w:p>
    <w:p w14:paraId="110904BF" w14:textId="2207C823" w:rsidR="00A378CD" w:rsidRDefault="00A378CD" w:rsidP="003F58FC">
      <w:pPr>
        <w:spacing w:after="0"/>
      </w:pPr>
    </w:p>
    <w:p w14:paraId="1F95BBC3" w14:textId="77777777" w:rsidR="00A378CD" w:rsidRPr="00A620BE" w:rsidRDefault="00A378CD" w:rsidP="003F58FC">
      <w:pPr>
        <w:spacing w:after="0"/>
      </w:pPr>
    </w:p>
    <w:sectPr w:rsidR="00A378CD" w:rsidRPr="00A62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2CAA" w14:textId="77777777" w:rsidR="00DA330A" w:rsidRDefault="00DA330A" w:rsidP="00DA330A">
      <w:pPr>
        <w:spacing w:after="0" w:line="240" w:lineRule="auto"/>
      </w:pPr>
      <w:r>
        <w:separator/>
      </w:r>
    </w:p>
  </w:endnote>
  <w:endnote w:type="continuationSeparator" w:id="0">
    <w:p w14:paraId="379DD5A2" w14:textId="77777777" w:rsidR="00DA330A" w:rsidRDefault="00DA330A" w:rsidP="00DA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41EE" w14:textId="77777777" w:rsidR="00DA330A" w:rsidRDefault="00DA3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939D" w14:textId="77777777" w:rsidR="00DA330A" w:rsidRDefault="00DA3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91D8" w14:textId="77777777" w:rsidR="00DA330A" w:rsidRDefault="00DA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850F" w14:textId="77777777" w:rsidR="00DA330A" w:rsidRDefault="00DA330A" w:rsidP="00DA330A">
      <w:pPr>
        <w:spacing w:after="0" w:line="240" w:lineRule="auto"/>
      </w:pPr>
      <w:r>
        <w:separator/>
      </w:r>
    </w:p>
  </w:footnote>
  <w:footnote w:type="continuationSeparator" w:id="0">
    <w:p w14:paraId="65E37F6F" w14:textId="77777777" w:rsidR="00DA330A" w:rsidRDefault="00DA330A" w:rsidP="00DA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F7D2" w14:textId="4B636CE1" w:rsidR="00DA330A" w:rsidRDefault="00DA3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2798" w14:textId="4054DC30" w:rsidR="00DA330A" w:rsidRDefault="00DA3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2DB7" w14:textId="3B62765C" w:rsidR="00DA330A" w:rsidRDefault="00DA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F7C5C"/>
    <w:multiLevelType w:val="hybridMultilevel"/>
    <w:tmpl w:val="30A8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1A"/>
    <w:rsid w:val="00011DDB"/>
    <w:rsid w:val="00067890"/>
    <w:rsid w:val="000A7165"/>
    <w:rsid w:val="000B01B2"/>
    <w:rsid w:val="000B2B48"/>
    <w:rsid w:val="00192D88"/>
    <w:rsid w:val="001C021A"/>
    <w:rsid w:val="00201963"/>
    <w:rsid w:val="002320DA"/>
    <w:rsid w:val="002B441D"/>
    <w:rsid w:val="002E0FFE"/>
    <w:rsid w:val="002F6F83"/>
    <w:rsid w:val="003020C6"/>
    <w:rsid w:val="00312FA5"/>
    <w:rsid w:val="00393AEB"/>
    <w:rsid w:val="003A1596"/>
    <w:rsid w:val="003D194F"/>
    <w:rsid w:val="003D6383"/>
    <w:rsid w:val="003F58FC"/>
    <w:rsid w:val="00400F08"/>
    <w:rsid w:val="00446E61"/>
    <w:rsid w:val="0049537A"/>
    <w:rsid w:val="00522FB9"/>
    <w:rsid w:val="00531D69"/>
    <w:rsid w:val="005A3C7B"/>
    <w:rsid w:val="005A3CBA"/>
    <w:rsid w:val="005E2B9C"/>
    <w:rsid w:val="00641CBC"/>
    <w:rsid w:val="006478ED"/>
    <w:rsid w:val="00673DBD"/>
    <w:rsid w:val="00681001"/>
    <w:rsid w:val="00685F74"/>
    <w:rsid w:val="006D3DDB"/>
    <w:rsid w:val="00726F3E"/>
    <w:rsid w:val="0080186F"/>
    <w:rsid w:val="00806615"/>
    <w:rsid w:val="00823C6E"/>
    <w:rsid w:val="00840E71"/>
    <w:rsid w:val="00897869"/>
    <w:rsid w:val="008B79BE"/>
    <w:rsid w:val="008D1B61"/>
    <w:rsid w:val="00906E24"/>
    <w:rsid w:val="00995B47"/>
    <w:rsid w:val="00A10104"/>
    <w:rsid w:val="00A16FFC"/>
    <w:rsid w:val="00A378CD"/>
    <w:rsid w:val="00A45FA8"/>
    <w:rsid w:val="00A620BE"/>
    <w:rsid w:val="00AB0ECA"/>
    <w:rsid w:val="00AC70CE"/>
    <w:rsid w:val="00AD199B"/>
    <w:rsid w:val="00AE38B4"/>
    <w:rsid w:val="00AF2B4A"/>
    <w:rsid w:val="00AF6EA6"/>
    <w:rsid w:val="00B16864"/>
    <w:rsid w:val="00B6159D"/>
    <w:rsid w:val="00B74CB4"/>
    <w:rsid w:val="00B873F7"/>
    <w:rsid w:val="00BE164A"/>
    <w:rsid w:val="00C25597"/>
    <w:rsid w:val="00C31B46"/>
    <w:rsid w:val="00C35797"/>
    <w:rsid w:val="00CB461D"/>
    <w:rsid w:val="00CD7979"/>
    <w:rsid w:val="00D56482"/>
    <w:rsid w:val="00D77649"/>
    <w:rsid w:val="00D91C1A"/>
    <w:rsid w:val="00DA330A"/>
    <w:rsid w:val="00DB18B7"/>
    <w:rsid w:val="00E14C2F"/>
    <w:rsid w:val="00E35507"/>
    <w:rsid w:val="00E57BED"/>
    <w:rsid w:val="00EA4E63"/>
    <w:rsid w:val="00F05A51"/>
    <w:rsid w:val="00FA0FB6"/>
    <w:rsid w:val="00FD2DA9"/>
    <w:rsid w:val="00FE73C3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F7CD6A3"/>
  <w15:chartTrackingRefBased/>
  <w15:docId w15:val="{25F48672-E3DE-4F3D-9D89-6C1767C1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1A"/>
    <w:pPr>
      <w:ind w:left="720"/>
      <w:contextualSpacing/>
    </w:pPr>
  </w:style>
  <w:style w:type="character" w:customStyle="1" w:styleId="TextChar">
    <w:name w:val="Text Char"/>
    <w:link w:val="Text"/>
    <w:locked/>
    <w:rsid w:val="00D77649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D77649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77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649"/>
  </w:style>
  <w:style w:type="paragraph" w:styleId="Header">
    <w:name w:val="header"/>
    <w:basedOn w:val="Normal"/>
    <w:link w:val="HeaderChar"/>
    <w:uiPriority w:val="99"/>
    <w:unhideWhenUsed/>
    <w:rsid w:val="00D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0A"/>
  </w:style>
  <w:style w:type="paragraph" w:styleId="Footer">
    <w:name w:val="footer"/>
    <w:basedOn w:val="Normal"/>
    <w:link w:val="FooterChar"/>
    <w:uiPriority w:val="99"/>
    <w:unhideWhenUsed/>
    <w:rsid w:val="00D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mart-trust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Saltash.net Community School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Lumbard</dc:creator>
  <cp:keywords/>
  <dc:description/>
  <cp:lastModifiedBy>Chloe Callard</cp:lastModifiedBy>
  <cp:revision>51</cp:revision>
  <cp:lastPrinted>2022-02-02T08:47:00Z</cp:lastPrinted>
  <dcterms:created xsi:type="dcterms:W3CDTF">2019-03-12T14:45:00Z</dcterms:created>
  <dcterms:modified xsi:type="dcterms:W3CDTF">2022-02-11T12:51:00Z</dcterms:modified>
</cp:coreProperties>
</file>